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2.0" w:type="dxa"/>
        <w:jc w:val="left"/>
        <w:tblInd w:w="5.0" w:type="dxa"/>
        <w:tblLayout w:type="fixed"/>
        <w:tblLook w:val="0000"/>
      </w:tblPr>
      <w:tblGrid>
        <w:gridCol w:w="1417"/>
        <w:gridCol w:w="2348"/>
        <w:gridCol w:w="1172"/>
        <w:gridCol w:w="3479"/>
        <w:gridCol w:w="1546"/>
        <w:tblGridChange w:id="0">
          <w:tblGrid>
            <w:gridCol w:w="1417"/>
            <w:gridCol w:w="2348"/>
            <w:gridCol w:w="1172"/>
            <w:gridCol w:w="3479"/>
            <w:gridCol w:w="1546"/>
          </w:tblGrid>
        </w:tblGridChange>
      </w:tblGrid>
      <w:tr>
        <w:trPr>
          <w:trHeight w:val="507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bottom w:color="000001" w:space="0" w:sz="8" w:val="single"/>
              <w:right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04/05/2020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bottom w:color="000001" w:space="0" w:sz="8" w:val="single"/>
              <w:right w:color="000001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COMUNICADO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CONSEJO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bottom w:color="000001" w:space="0" w:sz="8" w:val="single"/>
              <w:right w:color="000001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NIVEL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Todos los Niveles y Modalidades</w:t>
            </w:r>
          </w:p>
        </w:tc>
      </w:tr>
      <w:tr>
        <w:trPr>
          <w:trHeight w:val="259" w:hRule="atLeast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Escolar</w:t>
            </w:r>
          </w:p>
        </w:tc>
      </w:tr>
      <w:tr>
        <w:trPr>
          <w:trHeight w:val="318" w:hRule="atLeast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Agentes de la DGCyE </w:t>
            </w:r>
          </w:p>
        </w:tc>
      </w:tr>
      <w:tr>
        <w:trPr>
          <w:trHeight w:val="249" w:hRule="atLeast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hd w:fill="ffffff" w:val="clear"/>
              <w:spacing w:line="240" w:lineRule="auto"/>
              <w:jc w:val="center"/>
              <w:rPr>
                <w:rFonts w:ascii="Arial" w:cs="Arial" w:eastAsia="Arial" w:hAnsi="Arial"/>
                <w:b w:val="1"/>
                <w:color w:val="00b1c7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COBRO DE HABERES DEL MES DE ABRIL POR TICKETERA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9" w:hRule="atLeast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8" w:val="single"/>
              <w:right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8" w:val="single"/>
              <w:right w:color="000001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075"/>
        </w:tabs>
        <w:spacing w:after="140" w:line="288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075"/>
        </w:tabs>
        <w:spacing w:after="140" w:line="288" w:lineRule="auto"/>
        <w:rPr>
          <w:rFonts w:ascii="Arial" w:cs="Arial" w:eastAsia="Arial" w:hAnsi="Arial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u w:val="single"/>
          <w:rtl w:val="0"/>
        </w:rPr>
        <w:t xml:space="preserve">Comunicado</w:t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 Consejo Escolar de la Matanza informa sobre el Cobro de Haberes del Mes de Abril a partir del comunicado de la Dirección General de Cultura y Educación. Así mismo, se recuerda que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 se debe enviar mail con datos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como el mes pasado sino únicamente actualizar la página. Se recuerda que se debe contar con correo electrónico de abc.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Las respuestas pueden llegar a la carpeta SPAM por lo que será necesario revisarla de forma periódica.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 informa a todos aquellos agentes de la Dirección General de Cultura y Educación cuyo sistema de percepción de haberes habitual sea Ticketera Abierta que, al no encontrarse el mismo habilitado nuevamente para el haber 04/2020, se prevén en esta oportunidad las siguientes posibilidades: 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la persona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posee una cuenta bancaria activa en el Banco de la Provincia de Buenos Aires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la misma no ha sido informada a la DGCyE, se recibirá información certificada por dicha entidad bancaria a fines de poner a disposición de las personas los correspondientes haberes en ESA CUENTA. Es posible gestionar la nueva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cuenta DNI de BAPRO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HASTA EL DIA 6 DE MAYO a fines de ser relevada y tenida en cuenta para la transferencia de los haberes en esa cuenta.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6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la persona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posee una cuenta bancaria activa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el Banco de la Provincia de Buenos Aires al día 7 de mayo SE PAGARA A TRAVES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PUNTO EFECTIVO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tal como ocurrió en el haber 03/2020. Para efectivizar esto, deberá cumplimentar la registración en el sitio ABC con datos actualizados, creando a su vez una cuenta de correo electrónico compuesta por una de las combinaciones disponibles entre su nombre apellido y la extensión @abc.gob.ar. A través de la misma, Red Link enviará los PINs correspondientes.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IMPORTANTE: Para aquellas personas en que haya estado disponible su haber 03/2020 a través del sistema Punto Efectivo durante el mes de abril, y no se haya generado una cuenta bancaria previo al 7 de mayo, el haber 04/2020 estará disponible de igual forma que en la liquidación anterior y no deben realizar ningún tramite.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Debe tenerse en cuenta que los cobros por Ticketera Abierta correspondientes al haber 02/2020 que no hayan podido ser efectuados a tiempo por decretarse a nivel nacional el Aislamiento Social, Preventivo y Obligatorio, han sido reliquidados para su percepción en el mes de mayo. </w:t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Adicionalmente, a quienes corresponda la Retribución Especial por cese en este período, se informa que se intercambiará información con el Instituto de Previsión Social a fines de transferir los fondos correspondientes a las cuentas en las que sean depositados sus haberes jubilatorios en forma habitual, evitando de tal manera la concurrencia a entidad bancaria.</w:t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Consejo Escolar la Matanza</w:t>
      </w:r>
    </w:p>
    <w:p w:rsidR="00000000" w:rsidDel="00000000" w:rsidP="00000000" w:rsidRDefault="00000000" w:rsidRPr="00000000" w14:paraId="00000032">
      <w:pPr>
        <w:spacing w:after="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San Justo, 4 de Mayo de 2020.-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/>
      <w:pgMar w:bottom="1418" w:top="1418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721668" cy="137427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1668" cy="13742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1883093" cy="46337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3093" cy="4633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924552" cy="474027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552" cy="4740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